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Title"/>
        <w:jc w:val="right"/>
        <w:rPr>
          <w:rFonts w:ascii="Gulim" w:cs="Gulim" w:hAnsi="Gulim" w:eastAsia="Gulim"/>
        </w:rPr>
      </w:pPr>
      <w:r>
        <w:rPr>
          <w:rFonts w:ascii="Gulim" w:cs="Gulim" w:hAnsi="Gulim" w:eastAsia="Gulim"/>
          <w:rtl w:val="0"/>
          <w:lang w:val="en-US"/>
        </w:rPr>
        <w:t xml:space="preserve">                                              </w:t>
      </w:r>
    </w:p>
    <w:p>
      <w:pPr>
        <w:pStyle w:val="Title"/>
        <w:jc w:val="right"/>
        <w:rPr>
          <w:rFonts w:ascii="Gulim" w:cs="Gulim" w:hAnsi="Gulim" w:eastAsia="Gulim"/>
        </w:rPr>
      </w:pPr>
    </w:p>
    <w:p>
      <w:pPr>
        <w:pStyle w:val="Title"/>
        <w:jc w:val="right"/>
        <w:rPr>
          <w:rFonts w:ascii="Gulim" w:cs="Gulim" w:hAnsi="Gulim" w:eastAsia="Gulim"/>
        </w:rPr>
      </w:pPr>
    </w:p>
    <w:p>
      <w:pPr>
        <w:pStyle w:val="Title"/>
        <w:jc w:val="right"/>
        <w:rPr>
          <w:rFonts w:ascii="Gulim" w:cs="Gulim" w:hAnsi="Gulim" w:eastAsia="Gulim"/>
        </w:rPr>
      </w:pPr>
    </w:p>
    <w:p>
      <w:pPr>
        <w:pStyle w:val="Title"/>
        <w:jc w:val="right"/>
        <w:rPr>
          <w:rFonts w:ascii="Gulim" w:cs="Gulim" w:hAnsi="Gulim" w:eastAsia="Gulim"/>
        </w:rPr>
      </w:pPr>
    </w:p>
    <w:p>
      <w:pPr>
        <w:pStyle w:val="Title"/>
        <w:rPr>
          <w:rFonts w:ascii="Garamond" w:cs="Garamond" w:hAnsi="Garamond" w:eastAsia="Garamond"/>
          <w:b w:val="1"/>
          <w:bCs w:val="1"/>
          <w:sz w:val="72"/>
          <w:szCs w:val="72"/>
        </w:rPr>
      </w:pPr>
      <w:r>
        <w:rPr>
          <w:rFonts w:ascii="Garamond"/>
          <w:b w:val="1"/>
          <w:bCs w:val="1"/>
          <w:sz w:val="72"/>
          <w:szCs w:val="72"/>
          <w:rtl w:val="0"/>
          <w:lang w:val="en-US"/>
        </w:rPr>
        <w:t>Premier Medical Necessity</w:t>
      </w:r>
    </w:p>
    <w:p>
      <w:pPr>
        <w:pStyle w:val="Title"/>
        <w:rPr>
          <w:rFonts w:ascii="Garamond" w:cs="Garamond" w:hAnsi="Garamond" w:eastAsia="Garamond"/>
          <w:b w:val="1"/>
          <w:bCs w:val="1"/>
          <w:sz w:val="72"/>
          <w:szCs w:val="72"/>
        </w:rPr>
      </w:pPr>
      <w:r>
        <w:rPr>
          <w:rFonts w:ascii="Garamond"/>
          <w:b w:val="1"/>
          <w:bCs w:val="1"/>
          <w:sz w:val="72"/>
          <w:szCs w:val="72"/>
          <w:rtl w:val="0"/>
          <w:lang w:val="en-US"/>
        </w:rPr>
        <w:t>Version 8.6</w:t>
      </w:r>
    </w:p>
    <w:p>
      <w:pPr>
        <w:pStyle w:val="Title"/>
        <w:rPr>
          <w:rFonts w:ascii="Garamond" w:cs="Garamond" w:hAnsi="Garamond" w:eastAsia="Garamond"/>
          <w:b w:val="1"/>
          <w:bCs w:val="1"/>
        </w:rPr>
      </w:pPr>
      <w:r>
        <w:rPr>
          <w:rFonts w:ascii="Garamond"/>
          <w:b w:val="1"/>
          <w:bCs w:val="1"/>
          <w:sz w:val="72"/>
          <w:szCs w:val="72"/>
          <w:rtl w:val="0"/>
          <w:lang w:val="en-US"/>
        </w:rPr>
        <w:t>Release Notes</w:t>
      </w:r>
    </w:p>
    <w:p>
      <w:pPr>
        <w:pStyle w:val="Title"/>
        <w:rPr>
          <w:rFonts w:ascii="Garamond" w:cs="Garamond" w:hAnsi="Garamond" w:eastAsia="Garamond"/>
          <w:b w:val="1"/>
          <w:bCs w:val="1"/>
          <w:sz w:val="72"/>
          <w:szCs w:val="72"/>
        </w:rPr>
      </w:pPr>
    </w:p>
    <w:p>
      <w:pPr>
        <w:pStyle w:val="Body"/>
        <w:rPr>
          <w:rFonts w:ascii="Garamond" w:cs="Garamond" w:hAnsi="Garamond" w:eastAsia="Garamond"/>
          <w:b w:val="1"/>
          <w:bCs w:val="1"/>
          <w:sz w:val="72"/>
          <w:szCs w:val="72"/>
        </w:rPr>
      </w:pPr>
    </w:p>
    <w:p>
      <w:pPr>
        <w:pStyle w:val="Body"/>
        <w:rPr>
          <w:rFonts w:ascii="Garamond" w:cs="Garamond" w:hAnsi="Garamond" w:eastAsia="Garamond"/>
          <w:b w:val="1"/>
          <w:bCs w:val="1"/>
          <w:sz w:val="72"/>
          <w:szCs w:val="72"/>
        </w:rPr>
      </w:pPr>
    </w:p>
    <w:p>
      <w:pPr>
        <w:pStyle w:val="Body"/>
        <w:rPr>
          <w:rFonts w:ascii="Garamond" w:cs="Garamond" w:hAnsi="Garamond" w:eastAsia="Garamond"/>
          <w:b w:val="1"/>
          <w:bCs w:val="1"/>
          <w:sz w:val="72"/>
          <w:szCs w:val="72"/>
        </w:rPr>
      </w:pPr>
    </w:p>
    <w:p>
      <w:pPr>
        <w:pStyle w:val="Body"/>
        <w:rPr>
          <w:rFonts w:ascii="Garamond" w:cs="Garamond" w:hAnsi="Garamond" w:eastAsia="Garamond"/>
          <w:b w:val="1"/>
          <w:bCs w:val="1"/>
          <w:sz w:val="72"/>
          <w:szCs w:val="72"/>
        </w:rPr>
      </w:pPr>
    </w:p>
    <w:p>
      <w:pPr>
        <w:pStyle w:val="Body"/>
        <w:rPr>
          <w:rFonts w:ascii="Garamond" w:cs="Garamond" w:hAnsi="Garamond" w:eastAsia="Garamond"/>
          <w:b w:val="1"/>
          <w:bCs w:val="1"/>
          <w:sz w:val="72"/>
          <w:szCs w:val="72"/>
        </w:rPr>
      </w:pPr>
    </w:p>
    <w:p>
      <w:pPr>
        <w:pStyle w:val="Body"/>
        <w:rPr>
          <w:rFonts w:ascii="Garamond" w:cs="Garamond" w:hAnsi="Garamond" w:eastAsia="Garamond"/>
          <w:b w:val="1"/>
          <w:bCs w:val="1"/>
          <w:sz w:val="72"/>
          <w:szCs w:val="72"/>
        </w:rPr>
      </w:pPr>
    </w:p>
    <w:p>
      <w:pPr>
        <w:pStyle w:val="Body"/>
        <w:rPr>
          <w:rFonts w:ascii="Garamond" w:cs="Garamond" w:hAnsi="Garamond" w:eastAsia="Garamond"/>
          <w:b w:val="1"/>
          <w:bCs w:val="1"/>
          <w:sz w:val="72"/>
          <w:szCs w:val="72"/>
        </w:rPr>
      </w:pPr>
    </w:p>
    <w:p>
      <w:pPr>
        <w:pStyle w:val="Body"/>
        <w:rPr>
          <w:rFonts w:ascii="Garamond" w:cs="Garamond" w:hAnsi="Garamond" w:eastAsia="Garamond"/>
          <w:b w:val="1"/>
          <w:bCs w:val="1"/>
          <w:sz w:val="72"/>
          <w:szCs w:val="72"/>
        </w:rPr>
      </w:pPr>
    </w:p>
    <w:p>
      <w:pPr>
        <w:pStyle w:val="Body"/>
        <w:rPr>
          <w:rFonts w:ascii="Garamond" w:cs="Garamond" w:hAnsi="Garamond" w:eastAsia="Garamond"/>
          <w:b w:val="1"/>
          <w:bCs w:val="1"/>
          <w:sz w:val="72"/>
          <w:szCs w:val="72"/>
        </w:rPr>
      </w:pPr>
    </w:p>
    <w:p>
      <w:pPr>
        <w:pStyle w:val="Body"/>
        <w:rPr>
          <w:rFonts w:ascii="Garamond" w:cs="Garamond" w:hAnsi="Garamond" w:eastAsia="Garamond"/>
          <w:b w:val="1"/>
          <w:bCs w:val="1"/>
          <w:sz w:val="72"/>
          <w:szCs w:val="72"/>
        </w:rPr>
      </w:pPr>
    </w:p>
    <w:p>
      <w:pPr>
        <w:pStyle w:val="Body"/>
        <w:rPr>
          <w:rFonts w:ascii="Garamond" w:cs="Garamond" w:hAnsi="Garamond" w:eastAsia="Garamond"/>
          <w:b w:val="1"/>
          <w:bCs w:val="1"/>
          <w:sz w:val="72"/>
          <w:szCs w:val="72"/>
        </w:rPr>
      </w:pPr>
    </w:p>
    <w:p>
      <w:pPr>
        <w:pStyle w:val="Inside Address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PREMIER SOFTWARE ASSOCIATES</w:t>
      </w:r>
    </w:p>
    <w:p>
      <w:pPr>
        <w:pStyle w:val="Inside Address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997 West 950 North Suite 200</w:t>
      </w:r>
    </w:p>
    <w:p>
      <w:pPr>
        <w:pStyle w:val="Inside Address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Centerville, Utah  84014</w:t>
      </w:r>
    </w:p>
    <w:p>
      <w:pPr>
        <w:pStyle w:val="Inside Address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(801) 299-8772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Heading"/>
        <w:rPr>
          <w:rFonts w:ascii="Times New Roman Bold" w:cs="Times New Roman Bold" w:hAnsi="Times New Roman Bold" w:eastAsia="Times New Roman Bold"/>
        </w:rPr>
      </w:pPr>
    </w:p>
    <w:p>
      <w:pPr>
        <w:pStyle w:val="Heading"/>
        <w:rPr>
          <w:rFonts w:ascii="Times New Roman Bold" w:cs="Times New Roman Bold" w:hAnsi="Times New Roman Bold" w:eastAsia="Times New Roman Bold"/>
        </w:rPr>
      </w:pPr>
    </w:p>
    <w:p>
      <w:pPr>
        <w:pStyle w:val="Heading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INTRODUCTION:</w:t>
      </w:r>
    </w:p>
    <w:p>
      <w:pPr>
        <w:pStyle w:val="Body"/>
        <w:rPr>
          <w:rFonts w:ascii="Times New Roman Bold" w:cs="Times New Roman Bold" w:hAnsi="Times New Roman Bold" w:eastAsia="Times New Roman Bold"/>
        </w:rPr>
      </w:pPr>
    </w:p>
    <w:p>
      <w:pPr>
        <w:pStyle w:val="Body Text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Premier Software Associates is pleased to announce the release of version 8.6 of Medical Necessity. This release includes updates, software modifications and fixes to the Medical Necessity software V8.5.</w:t>
      </w:r>
    </w:p>
    <w:p>
      <w:pPr>
        <w:pStyle w:val="Body Text"/>
        <w:rPr>
          <w:sz w:val="28"/>
          <w:szCs w:val="28"/>
        </w:rPr>
      </w:pPr>
    </w:p>
    <w:p>
      <w:pPr>
        <w:pStyle w:val="Body Text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The remainder of this document will outline the updates made to the product for this release.</w:t>
      </w:r>
    </w:p>
    <w:p>
      <w:pPr>
        <w:pStyle w:val="Body Text"/>
        <w:rPr>
          <w:sz w:val="28"/>
          <w:szCs w:val="28"/>
        </w:rPr>
      </w:pPr>
    </w:p>
    <w:p>
      <w:pPr>
        <w:pStyle w:val="Body Text"/>
        <w:rPr>
          <w:sz w:val="28"/>
          <w:szCs w:val="28"/>
        </w:rPr>
      </w:pPr>
    </w:p>
    <w:p>
      <w:pPr>
        <w:pStyle w:val="Body Text"/>
        <w:rPr>
          <w:sz w:val="28"/>
          <w:szCs w:val="28"/>
        </w:rPr>
      </w:pPr>
    </w:p>
    <w:p>
      <w:pPr>
        <w:pStyle w:val="heading 4"/>
        <w:rPr>
          <w:sz w:val="32"/>
          <w:szCs w:val="32"/>
        </w:rPr>
      </w:pPr>
      <w:r>
        <w:rPr>
          <w:rFonts w:ascii="Times New Roman Bold" w:cs="Arial Unicode MS" w:hAnsi="Arial Unicode MS" w:eastAsia="Arial Unicode MS"/>
          <w:sz w:val="32"/>
          <w:szCs w:val="32"/>
          <w:rtl w:val="0"/>
          <w:lang w:val="en-US"/>
        </w:rPr>
        <w:t>PREREQUISITES: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You must be on Medical Necessity version 8.5 to install this release.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</w:pPr>
      <w:r>
        <w:rPr>
          <w:rFonts w:ascii="Times New Roman Bold" w:cs="Times New Roman Bold" w:hAnsi="Times New Roman Bold" w:eastAsia="Times New Roman Bold"/>
          <w:sz w:val="32"/>
          <w:szCs w:val="32"/>
          <w:rtl w:val="0"/>
        </w:rPr>
        <w:br w:type="page"/>
      </w:r>
    </w:p>
    <w:p>
      <w:pPr>
        <w:pStyle w:val="Body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ascii="Times New Roman Bold"/>
          <w:sz w:val="32"/>
          <w:szCs w:val="32"/>
          <w:rtl w:val="0"/>
        </w:rPr>
        <w:t>OVERVIEW:</w:t>
      </w:r>
    </w:p>
    <w:p>
      <w:pPr>
        <w:pStyle w:val="Body"/>
        <w:rPr>
          <w:rFonts w:ascii="Times New Roman Bold" w:cs="Times New Roman Bold" w:hAnsi="Times New Roman Bold" w:eastAsia="Times New Roman Bold"/>
        </w:rPr>
      </w:pPr>
    </w:p>
    <w:p>
      <w:pPr>
        <w:pStyle w:val="Body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Among other enhancements and fixes, this release handles the increased size of the MS4 Doctor number released in version 34.10.  It also deploys Premiers Checker as a complete Stand Alone checker without any MS4 integration.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 xml:space="preserve"> </w:t>
      </w:r>
    </w:p>
    <w:p>
      <w:pPr>
        <w:pStyle w:val="Body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Main Functional Enhancements:</w:t>
      </w:r>
    </w:p>
    <w:tbl>
      <w:tblPr>
        <w:tblW w:w="95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88"/>
        <w:gridCol w:w="4140"/>
        <w:gridCol w:w="3348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Function or Screen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Description</w:t>
            </w:r>
          </w:p>
        </w:tc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9 Digit Doctor Number 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 34.10 release of MS4 increased the Doctor number from 5 digits to 9 digits</w:t>
            </w:r>
          </w:p>
        </w:tc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Changed many programs and files to handle the larger number.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Stand Alone Check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Developed for Non-Ms4 Sites.</w:t>
            </w:r>
          </w:p>
        </w:tc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Medical Necessity Checker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Corrects some Minor Screen errors with the ICD10 checker.</w:t>
            </w:r>
          </w:p>
        </w:tc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Further testing and customer involvement showed some screen errors.</w:t>
            </w:r>
          </w:p>
        </w:tc>
      </w:tr>
    </w:tbl>
    <w:p>
      <w:pPr>
        <w:pStyle w:val="Body"/>
        <w:spacing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Body"/>
      </w:pPr>
      <w:r>
        <w:rPr>
          <w:rtl w:val="0"/>
        </w:rPr>
        <w:br w:type="page"/>
      </w:r>
    </w:p>
    <w:p>
      <w:pPr>
        <w:pStyle w:val="Body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 </w:t>
      </w:r>
    </w:p>
    <w:p>
      <w:pPr>
        <w:pStyle w:val="Body"/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ascii="Times New Roman Bold"/>
          <w:sz w:val="32"/>
          <w:szCs w:val="32"/>
          <w:rtl w:val="0"/>
          <w:lang w:val="en-US"/>
        </w:rPr>
        <w:t>Objects included in this release</w:t>
      </w:r>
    </w:p>
    <w:p>
      <w:pPr>
        <w:pStyle w:val="Body"/>
        <w:numPr>
          <w:ilvl w:val="0"/>
          <w:numId w:val="3"/>
        </w:numPr>
        <w:tabs>
          <w:tab w:val="num" w:pos="1029"/>
          <w:tab w:val="clear" w:pos="1080"/>
        </w:tabs>
        <w:bidi w:val="0"/>
        <w:ind w:left="1029" w:right="0" w:hanging="309"/>
        <w:jc w:val="left"/>
        <w:rPr>
          <w:rFonts w:ascii="Times New Roman Bold" w:cs="Times New Roman Bold" w:hAnsi="Times New Roman Bold" w:eastAsia="Times New Roman Bold"/>
          <w:position w:val="0"/>
          <w:sz w:val="28"/>
          <w:szCs w:val="28"/>
          <w:rtl w:val="0"/>
        </w:rPr>
      </w:pPr>
      <w:r>
        <w:rPr>
          <w:rFonts w:ascii="Times New Roman Bold"/>
          <w:sz w:val="28"/>
          <w:szCs w:val="28"/>
          <w:rtl w:val="0"/>
          <w:lang w:val="en-US"/>
        </w:rPr>
        <w:t>The following table shows the objects included in this release and the reason for their inclusion.</w:t>
      </w:r>
    </w:p>
    <w:p>
      <w:pPr>
        <w:pStyle w:val="Body"/>
        <w:rPr>
          <w:rFonts w:ascii="Times New Roman Bold" w:cs="Times New Roman Bold" w:hAnsi="Times New Roman Bold" w:eastAsia="Times New Roman Bold"/>
          <w:sz w:val="28"/>
          <w:szCs w:val="28"/>
        </w:rPr>
      </w:pPr>
    </w:p>
    <w:tbl>
      <w:tblPr>
        <w:tblW w:w="964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28"/>
        <w:gridCol w:w="2610"/>
        <w:gridCol w:w="5310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Fix/Enhance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Object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@UPPERCASE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Mod to translate case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ADDUPPER 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Binding Directory Add.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INABNMODR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INBDOCD  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INBDOCR  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INDOCNAME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INHCPCCON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INUB04PRER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IN0001R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IN0003R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IN0007R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Recompile for IN0008R change. Level Check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IN0008R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Recompile for Level check on PHPACTX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IN0011R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IN0199R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Change for Stand Alone Process</w:t>
            </w:r>
          </w:p>
        </w:tc>
      </w:tr>
      <w:tr>
        <w:tblPrEx>
          <w:shd w:val="clear" w:color="auto" w:fill="auto"/>
        </w:tblPrEx>
        <w:trPr>
          <w:trHeight w:val="643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IN3006R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>Changed to ignore inactive expanded proration records</w:t>
            </w:r>
          </w:p>
        </w:tc>
      </w:tr>
      <w:tr>
        <w:tblPrEx>
          <w:shd w:val="clear" w:color="auto" w:fill="auto"/>
        </w:tblPrEx>
        <w:trPr>
          <w:trHeight w:val="643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IN3006UR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sz w:val="24"/>
                <w:szCs w:val="24"/>
                <w:u w:color="000000"/>
                <w:rtl w:val="0"/>
              </w:rPr>
              <w:t>Changed to ignore inactive expanded proration records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MNMENU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MNMENUD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MN0001R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Change Removed. (Non Cov)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MN0002R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Change for Stand Alone Process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MN0003R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>Added logic for EDM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MN0040R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>removed password check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MN0201R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>Fixed 0 DOS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MN0203R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>Changed for bigger doctor number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MN2403D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Fixed Screen Heading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MN3007R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>Changed to get correct price on CPT4 window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MN3206R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Fixed Status of ICD9 code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MN3207R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>Fixed issue with index causing errors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MN3208D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>Changes for ICD10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MN3208R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>Changes for ICD10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MN3240R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>Changes for ICD10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MN3395D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Fixed Heading on screen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MN3530D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Removed 9 from text.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MN3600D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Made ICD9 code red if non-covered flag is on.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MN3600R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Made ICD9 code red if non-covered flag is on.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MN3620R0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Fixed to prompt for ICD10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MN3630R0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</w:rPr>
              <w:t>Changes for ICD10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MN4110D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MN4110R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MN4200D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MN4200R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MN4210D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MN4210R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MN4220D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MN4220R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MN4230D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MN4230R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MN4310R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MN8025R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MN8035R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MN8040D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MN8041D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MN8041R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MN8042D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MN8042R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MN8052D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MN8052P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MN8052R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MN8052RR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MN8053C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MN8053D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MN8053P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MN8053R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MN8053RR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MN8054D 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Screen issues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MN8054RR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Fixed Report errors.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MN8055RR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MN8056C 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MN8056D 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MN8056R 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Enhancement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MN8056RR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Handle Larger MS4 Doctor Number in 34.10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IN0199RS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MNLOGAPS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MNLOGAP1S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MNLOGAP2S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MNLOGAP3S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MNLOGAP4S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MNLOGAP5S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MNLOGAP6S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MNLOGDPS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MNLOGDP1S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MNLOGDXPS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MNLOGHPS 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MNLOGHP1S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MNLOGHP2S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MNLOGHP3S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MNMAINTS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MN0002DS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MN0002RS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MN0197RS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MN0261PS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MN0261RS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MN0262PS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MN0262RS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MN2500RS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MN2510RS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MN2520RS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MN2530RS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MN2540RS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MN2541RS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MN6000DS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MN6000RS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MN6010DS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MN6010RS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MN6015DS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MN6015RS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MN6016DS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MN6016RS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Feature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MN6020RS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New Stand Alone for Non MS4</w:t>
            </w:r>
          </w:p>
        </w:tc>
      </w:tr>
    </w:tbl>
    <w:p>
      <w:pPr>
        <w:pStyle w:val="Body"/>
        <w:spacing w:line="240" w:lineRule="auto"/>
      </w:pPr>
      <w:r>
        <w:rPr>
          <w:rFonts w:ascii="Times New Roman Bold" w:cs="Times New Roman Bold" w:hAnsi="Times New Roman Bold" w:eastAsia="Times New Roman Bold"/>
          <w:sz w:val="28"/>
          <w:szCs w:val="28"/>
        </w:rPr>
        <w:br w:type="textWrapping"/>
      </w:r>
      <w:r>
        <w:rPr>
          <w:rFonts w:ascii="Times New Roman Bold" w:cs="Times New Roman Bold" w:hAnsi="Times New Roman Bold" w:eastAsia="Times New Roman Bold"/>
          <w:sz w:val="28"/>
          <w:szCs w:val="28"/>
        </w:rPr>
        <w:br w:type="page"/>
      </w:r>
    </w:p>
    <w:p>
      <w:pPr>
        <w:pStyle w:val="Body"/>
        <w:spacing w:line="240" w:lineRule="auto"/>
      </w:pPr>
      <w:r>
        <w:rPr>
          <w:rFonts w:ascii="Times New Roman Bold" w:cs="Times New Roman Bold" w:hAnsi="Times New Roman Bold" w:eastAsia="Times New Roman Bold"/>
          <w:sz w:val="28"/>
          <w:szCs w:val="28"/>
        </w:rPr>
        <w:br w:type="page"/>
      </w:r>
    </w:p>
    <w:p>
      <w:pPr>
        <w:pStyle w:val="Body"/>
        <w:spacing w:line="240" w:lineRule="auto"/>
      </w:pPr>
      <w:r>
        <w:rPr>
          <w:rFonts w:ascii="Times New Roman Bold" w:cs="Times New Roman Bold" w:hAnsi="Times New Roman Bold" w:eastAsia="Times New Roman Bold"/>
          <w:sz w:val="28"/>
          <w:szCs w:val="28"/>
        </w:rPr>
        <w:br w:type="page"/>
      </w:r>
    </w:p>
    <w:p>
      <w:pPr>
        <w:pStyle w:val="Body"/>
        <w:spacing w:line="240" w:lineRule="auto"/>
      </w:pPr>
      <w:r>
        <w:rPr>
          <w:rFonts w:ascii="Times New Roman Bold" w:cs="Times New Roman Bold" w:hAnsi="Times New Roman Bold" w:eastAsia="Times New Roman Bold"/>
          <w:sz w:val="28"/>
          <w:szCs w:val="28"/>
        </w:rPr>
        <w:br w:type="page"/>
      </w:r>
    </w:p>
    <w:p>
      <w:pPr>
        <w:pStyle w:val="Body"/>
        <w:spacing w:line="240" w:lineRule="auto"/>
      </w:pPr>
    </w:p>
    <w:sectPr>
      <w:headerReference w:type="default" r:id="rId4"/>
      <w:footerReference w:type="default" r:id="rId5"/>
      <w:pgSz w:w="12240" w:h="15840" w:orient="portrait"/>
      <w:pgMar w:top="108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Gulim">
    <w:charset w:val="00"/>
    <w:family w:val="roman"/>
    <w:pitch w:val="default"/>
  </w:font>
  <w:font w:name="Garamond">
    <w:charset w:val="00"/>
    <w:family w:val="roman"/>
    <w:pitch w:val="default"/>
  </w:font>
  <w:font w:name="Times New Roman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clear" w:pos="9360"/>
      </w:tabs>
      <w:rPr>
        <w:rFonts w:ascii="Cambria" w:cs="Cambria" w:hAnsi="Cambria" w:eastAsia="Cambria"/>
      </w:rPr>
    </w:pPr>
    <w:r>
      <w:rPr>
        <w:rFonts w:ascii="Cambria" w:cs="Cambria" w:hAnsi="Cambria" w:eastAsia="Cambria"/>
        <w:sz w:val="20"/>
        <w:szCs w:val="20"/>
        <w:rtl w:val="0"/>
        <w:lang w:val="en-US"/>
      </w:rPr>
      <w:t>Premier Medical Necessity V8.6</w:t>
    </w:r>
    <w:r>
      <w:rPr>
        <w:rFonts w:ascii="Cambria" w:cs="Cambria" w:hAnsi="Cambria" w:eastAsia="Cambria"/>
        <w:sz w:val="18"/>
        <w:szCs w:val="18"/>
        <w:rtl w:val="0"/>
      </w:rPr>
      <w:tab/>
      <w:t>Effective 2/01/2015</w:t>
    </w:r>
    <w:r>
      <w:rPr>
        <w:rFonts w:ascii="Cambria" w:cs="Cambria" w:hAnsi="Cambria" w:eastAsia="Cambria"/>
        <w:rtl w:val="0"/>
      </w:rPr>
      <w:tab/>
      <w:tab/>
      <w:tab/>
      <w:t xml:space="preserve">Page </w:t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7</w:t>
    </w:r>
    <w:r>
      <w:rPr>
        <w:rtl w:val="0"/>
      </w:rPr>
      <w:fldChar w:fldCharType="end" w:fldLock="0"/>
    </w:r>
    <w:r>
      <w:rPr>
        <w:rFonts w:ascii="Cambria" w:cs="Cambria" w:hAnsi="Cambria" w:eastAsia="Cambria"/>
        <w:rtl w:val="0"/>
        <w:lang w:val="en-US"/>
      </w:rPr>
      <w:t xml:space="preserve"> of </w:t>
    </w:r>
    <w:r>
      <w:rPr>
        <w:rFonts w:ascii="Cambria" w:cs="Cambria" w:hAnsi="Cambria" w:eastAsia="Cambria"/>
        <w:rtl w:val="0"/>
      </w:rPr>
      <w:fldChar w:fldCharType="begin" w:fldLock="0"/>
    </w:r>
    <w:r>
      <w:rPr>
        <w:rFonts w:ascii="Cambria" w:cs="Cambria" w:hAnsi="Cambria" w:eastAsia="Cambria"/>
        <w:rtl w:val="0"/>
      </w:rPr>
      <w:t xml:space="preserve"> NUMPAGES </w:t>
    </w:r>
    <w:r>
      <w:rPr>
        <w:rFonts w:ascii="Cambria" w:cs="Cambria" w:hAnsi="Cambria" w:eastAsia="Cambria"/>
        <w:rtl w:val="0"/>
      </w:rPr>
      <w:fldChar w:fldCharType="separate" w:fldLock="0"/>
    </w:r>
    <w:r>
      <w:rPr>
        <w:rFonts w:ascii="Cambria" w:cs="Cambria" w:hAnsi="Cambria" w:eastAsia="Cambria"/>
        <w:rtl w:val="0"/>
      </w:rPr>
      <w:t>9</w:t>
    </w:r>
    <w:r>
      <w:rPr>
        <w:rFonts w:ascii="Cambria" w:cs="Cambria" w:hAnsi="Cambria" w:eastAsia="Cambria"/>
        <w:rtl w:val="0"/>
      </w:rPr>
      <w:fldChar w:fldCharType="end" w:fldLock="0"/>
    </w:r>
  </w:p>
  <w:p>
    <w:pPr>
      <w:pStyle w:val="footer"/>
      <w:tabs>
        <w:tab w:val="clear" w:pos="9360"/>
      </w:tabs>
    </w:pPr>
    <w:r>
      <w:rPr>
        <w:rFonts w:ascii="Cambria" w:cs="Cambria" w:hAnsi="Cambria" w:eastAsia="Cambria"/>
        <w:sz w:val="20"/>
        <w:szCs w:val="20"/>
        <w:rtl w:val="0"/>
        <w:lang w:val="en-US"/>
      </w:rPr>
      <w:t>Release Notes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421005</wp:posOffset>
          </wp:positionH>
          <wp:positionV relativeFrom="page">
            <wp:posOffset>339089</wp:posOffset>
          </wp:positionV>
          <wp:extent cx="1849755" cy="36449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3644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ab/>
      <w:tab/>
    </w:r>
    <w:r>
      <w:rPr>
        <w:rtl w:val="0"/>
      </w:rPr>
      <w:fldChar w:fldCharType="begin" w:fldLock="0"/>
    </w:r>
    <w:r>
      <w:rPr>
        <w:rtl w:val="0"/>
      </w:rPr>
      <w:t xml:space="preserve"> DATE \@ "M/d/yy" </w:t>
    </w:r>
    <w:r>
      <w:rPr>
        <w:rtl w:val="0"/>
      </w:rPr>
      <w:fldChar w:fldCharType="separate" w:fldLock="0"/>
    </w:r>
    <w:r>
      <w:rPr>
        <w:rtl w:val="0"/>
        <w:lang w:val="en-US"/>
      </w:rPr>
      <w:t>1/29/2015</w:t>
    </w:r>
    <w:r>
      <w:rPr>
        <w:rtl w:val="0"/>
      </w:rPr>
      <w:fldChar w:fldCharType="end" w:fldLock="0"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860"/>
          <w:tab w:val="clear" w:pos="0"/>
        </w:tabs>
        <w:ind w:left="1860" w:hanging="420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569"/>
          <w:tab w:val="clear" w:pos="0"/>
        </w:tabs>
        <w:ind w:left="2569" w:hanging="345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3300"/>
          <w:tab w:val="clear" w:pos="0"/>
        </w:tabs>
        <w:ind w:left="3300" w:hanging="420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4020"/>
          <w:tab w:val="clear" w:pos="0"/>
        </w:tabs>
        <w:ind w:left="4020" w:hanging="420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729"/>
          <w:tab w:val="clear" w:pos="0"/>
        </w:tabs>
        <w:ind w:left="4729" w:hanging="345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460"/>
          <w:tab w:val="clear" w:pos="0"/>
        </w:tabs>
        <w:ind w:left="5460" w:hanging="420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6180"/>
          <w:tab w:val="clear" w:pos="0"/>
        </w:tabs>
        <w:ind w:left="6180" w:hanging="420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889"/>
          <w:tab w:val="clear" w:pos="0"/>
        </w:tabs>
        <w:ind w:left="6889" w:hanging="345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upp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860"/>
          <w:tab w:val="clear" w:pos="0"/>
        </w:tabs>
        <w:ind w:left="1860" w:hanging="420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569"/>
          <w:tab w:val="clear" w:pos="0"/>
        </w:tabs>
        <w:ind w:left="2569" w:hanging="345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3300"/>
          <w:tab w:val="clear" w:pos="0"/>
        </w:tabs>
        <w:ind w:left="3300" w:hanging="420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4020"/>
          <w:tab w:val="clear" w:pos="0"/>
        </w:tabs>
        <w:ind w:left="4020" w:hanging="420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729"/>
          <w:tab w:val="clear" w:pos="0"/>
        </w:tabs>
        <w:ind w:left="4729" w:hanging="345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460"/>
          <w:tab w:val="clear" w:pos="0"/>
        </w:tabs>
        <w:ind w:left="5460" w:hanging="420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6180"/>
          <w:tab w:val="clear" w:pos="0"/>
        </w:tabs>
        <w:ind w:left="6180" w:hanging="420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889"/>
          <w:tab w:val="clear" w:pos="0"/>
        </w:tabs>
        <w:ind w:left="6889" w:hanging="345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Inside Address">
    <w:name w:val="Inside Address"/>
    <w:next w:val="Inside Addres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4">
    <w:name w:val="heading 4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76" w:lineRule="auto"/>
      <w:ind w:left="0" w:right="0" w:firstLine="0"/>
      <w:jc w:val="left"/>
      <w:outlineLvl w:val="3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